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F3" w:rsidRDefault="00D671C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 (ИЯФ СО РАН).</w:t>
      </w:r>
    </w:p>
    <w:p w:rsidR="003F39F3" w:rsidRDefault="00D671C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ДОСТИЖЕНИЕ ПРОЕКТНОГО ПРОСТРАНСТВЕННОГО РАЗРЕШЕНИЯ НА ПРОТОТИПЕ ДРЕЙФОВОЙ КАМЕРЫ СУПЕР ЧАРМ-ТАУ ФАБРИКИ</w:t>
      </w:r>
    </w:p>
    <w:p w:rsidR="003F39F3" w:rsidRDefault="003F39F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3F39F3" w:rsidRDefault="00D671C0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И. Ю. Басок, В. С. Бобровников, А. В. Быков, Д. А.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Кыштымов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A7A32">
        <w:rPr>
          <w:rFonts w:ascii="Times New Roman" w:eastAsia="Calibri" w:hAnsi="Times New Roman" w:cs="Times New Roman"/>
          <w:b/>
          <w:bCs/>
          <w:sz w:val="24"/>
          <w:szCs w:val="24"/>
        </w:rPr>
        <w:t>+7(383)329-4</w:t>
      </w:r>
      <w:r w:rsidR="001A7A3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1A7A32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1A7A32">
        <w:rPr>
          <w:rFonts w:ascii="Times New Roman" w:eastAsia="Calibri" w:hAnsi="Times New Roman" w:cs="Times New Roman"/>
          <w:b/>
          <w:bCs/>
          <w:sz w:val="24"/>
          <w:szCs w:val="24"/>
        </w:rPr>
        <w:t>78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D.A.Kyshtymov@inp.nsk.su), В. Г.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Присекин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К. Ю.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Тодышев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(+7(383)329-43-07, </w:t>
      </w:r>
      <w:hyperlink r:id="rId5">
        <w:r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</w:rPr>
          <w:t>C.Yu.Todyshev@inp.nsk.su</w:t>
        </w:r>
      </w:hyperlink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</w:p>
    <w:p w:rsidR="003F39F3" w:rsidRDefault="003F39F3">
      <w:pPr>
        <w:shd w:val="clear" w:color="auto" w:fill="FFFFFF"/>
        <w:spacing w:after="0" w:line="240" w:lineRule="auto"/>
        <w:rPr>
          <w:rFonts w:eastAsia="Calibri" w:cs="Times New Roman"/>
          <w:b/>
          <w:bCs/>
          <w:sz w:val="24"/>
          <w:szCs w:val="24"/>
        </w:rPr>
      </w:pPr>
    </w:p>
    <w:p w:rsidR="003F39F3" w:rsidRPr="0076162C" w:rsidRDefault="00D671C0">
      <w:pPr>
        <w:spacing w:after="0" w:line="240" w:lineRule="auto"/>
        <w:jc w:val="both"/>
        <w:rPr>
          <w:lang w:val="en-US"/>
        </w:rPr>
      </w:pPr>
      <w:r w:rsidRPr="0076162C">
        <w:rPr>
          <w:rFonts w:ascii="Times New Roman" w:hAnsi="Times New Roman" w:cs="Times New Roman"/>
          <w:color w:val="000000"/>
        </w:rPr>
        <w:t xml:space="preserve">Публикация: </w:t>
      </w:r>
      <w:r w:rsidRPr="0076162C">
        <w:rPr>
          <w:rFonts w:ascii="Times New Roman" w:hAnsi="Times New Roman" w:cs="Times New Roman"/>
          <w:i/>
          <w:color w:val="000000"/>
          <w:lang w:val="en-US" w:eastAsia="ar-SA"/>
        </w:rPr>
        <w:t>I</w:t>
      </w:r>
      <w:r w:rsidRPr="0076162C">
        <w:rPr>
          <w:rFonts w:ascii="Times New Roman" w:hAnsi="Times New Roman" w:cs="Times New Roman"/>
          <w:i/>
          <w:color w:val="000000"/>
          <w:lang w:eastAsia="ar-SA"/>
        </w:rPr>
        <w:t>.</w:t>
      </w:r>
      <w:r w:rsidRPr="0076162C">
        <w:rPr>
          <w:rFonts w:ascii="Times New Roman" w:hAnsi="Times New Roman" w:cs="Times New Roman"/>
          <w:i/>
          <w:color w:val="000000"/>
          <w:lang w:val="en-US" w:eastAsia="ar-SA"/>
        </w:rPr>
        <w:t>Yu</w:t>
      </w:r>
      <w:r w:rsidRPr="0076162C">
        <w:rPr>
          <w:rFonts w:ascii="Times New Roman" w:hAnsi="Times New Roman" w:cs="Times New Roman"/>
          <w:i/>
          <w:color w:val="000000"/>
          <w:lang w:eastAsia="ar-SA"/>
        </w:rPr>
        <w:t xml:space="preserve">. </w:t>
      </w:r>
      <w:r w:rsidRPr="0076162C">
        <w:rPr>
          <w:rFonts w:ascii="Times New Roman" w:hAnsi="Times New Roman" w:cs="Times New Roman"/>
          <w:i/>
          <w:color w:val="000000"/>
          <w:lang w:val="en-US" w:eastAsia="ar-SA"/>
        </w:rPr>
        <w:t>Basok</w:t>
      </w:r>
      <w:r w:rsidRPr="0076162C">
        <w:rPr>
          <w:rFonts w:ascii="Times New Roman" w:hAnsi="Times New Roman" w:cs="Times New Roman"/>
          <w:i/>
          <w:color w:val="000000"/>
          <w:lang w:eastAsia="ar-SA"/>
        </w:rPr>
        <w:t xml:space="preserve"> </w:t>
      </w:r>
      <w:r w:rsidRPr="0076162C">
        <w:rPr>
          <w:rFonts w:ascii="Times New Roman" w:hAnsi="Times New Roman" w:cs="Times New Roman"/>
          <w:i/>
          <w:color w:val="000000"/>
          <w:lang w:val="en-US" w:eastAsia="ar-SA"/>
        </w:rPr>
        <w:t>et</w:t>
      </w:r>
      <w:r w:rsidRPr="0076162C">
        <w:rPr>
          <w:rFonts w:ascii="Times New Roman" w:hAnsi="Times New Roman" w:cs="Times New Roman"/>
          <w:i/>
          <w:color w:val="000000"/>
          <w:lang w:eastAsia="ar-SA"/>
        </w:rPr>
        <w:t xml:space="preserve"> </w:t>
      </w:r>
      <w:r w:rsidRPr="0076162C">
        <w:rPr>
          <w:rFonts w:ascii="Times New Roman" w:hAnsi="Times New Roman" w:cs="Times New Roman"/>
          <w:i/>
          <w:color w:val="000000"/>
          <w:lang w:val="en-US" w:eastAsia="ar-SA"/>
        </w:rPr>
        <w:t>al</w:t>
      </w:r>
      <w:r w:rsidRPr="0076162C">
        <w:rPr>
          <w:rFonts w:ascii="Times New Roman" w:hAnsi="Times New Roman" w:cs="Times New Roman"/>
          <w:i/>
          <w:color w:val="000000"/>
          <w:lang w:eastAsia="ar-SA"/>
        </w:rPr>
        <w:t xml:space="preserve">. </w:t>
      </w:r>
      <w:bookmarkStart w:id="1" w:name="screen-reader-main-title"/>
      <w:bookmarkEnd w:id="1"/>
      <w:r w:rsidRPr="0076162C">
        <w:rPr>
          <w:rFonts w:ascii="Times New Roman" w:hAnsi="Times New Roman" w:cs="Times New Roman"/>
          <w:i/>
          <w:iCs/>
          <w:color w:val="000000"/>
          <w:lang w:val="en-US" w:eastAsia="ar-SA"/>
        </w:rPr>
        <w:t>The spatial resolution measurements on the small prototype of the Super Charm-Tau Factory drift chamber</w:t>
      </w:r>
      <w:r w:rsidRPr="0076162C">
        <w:rPr>
          <w:rFonts w:ascii="Times New Roman" w:hAnsi="Times New Roman" w:cs="Times New Roman"/>
          <w:i/>
          <w:color w:val="000000"/>
          <w:lang w:val="en-US" w:eastAsia="ar-SA"/>
        </w:rPr>
        <w:t xml:space="preserve"> // ΝΙΜ Α 1064 (2024) 169419, DOI: </w:t>
      </w:r>
      <w:hyperlink r:id="rId6">
        <w:r w:rsidRPr="0076162C">
          <w:rPr>
            <w:rStyle w:val="a3"/>
            <w:rFonts w:ascii="Times New Roman" w:hAnsi="Times New Roman" w:cs="Times New Roman"/>
            <w:i/>
            <w:color w:val="000000"/>
            <w:lang w:val="en-US" w:eastAsia="ar-SA"/>
          </w:rPr>
          <w:t>10.1016/j.nima.2024.169419</w:t>
        </w:r>
      </w:hyperlink>
      <w:r w:rsidRPr="0076162C">
        <w:rPr>
          <w:rFonts w:ascii="Times New Roman" w:hAnsi="Times New Roman" w:cs="Times New Roman"/>
          <w:i/>
          <w:color w:val="000000"/>
          <w:lang w:val="en-US" w:eastAsia="ar-SA"/>
        </w:rPr>
        <w:t xml:space="preserve">, </w:t>
      </w:r>
      <w:proofErr w:type="spellStart"/>
      <w:r w:rsidRPr="0076162C">
        <w:rPr>
          <w:rFonts w:ascii="Times New Roman" w:hAnsi="Times New Roman" w:cs="Times New Roman"/>
          <w:i/>
          <w:color w:val="000000"/>
          <w:lang w:val="en-US" w:eastAsia="ar-SA"/>
        </w:rPr>
        <w:t>импакт</w:t>
      </w:r>
      <w:proofErr w:type="spellEnd"/>
      <w:r w:rsidRPr="0076162C">
        <w:rPr>
          <w:rFonts w:ascii="Times New Roman" w:hAnsi="Times New Roman" w:cs="Times New Roman"/>
          <w:i/>
          <w:color w:val="000000"/>
          <w:lang w:val="en-US" w:eastAsia="ar-SA"/>
        </w:rPr>
        <w:t xml:space="preserve"> </w:t>
      </w:r>
      <w:proofErr w:type="spellStart"/>
      <w:r w:rsidRPr="0076162C">
        <w:rPr>
          <w:rFonts w:ascii="Times New Roman" w:hAnsi="Times New Roman" w:cs="Times New Roman"/>
          <w:i/>
          <w:color w:val="000000"/>
          <w:lang w:val="en-US" w:eastAsia="ar-SA"/>
        </w:rPr>
        <w:t>фактор</w:t>
      </w:r>
      <w:proofErr w:type="spellEnd"/>
      <w:r w:rsidRPr="0076162C">
        <w:rPr>
          <w:rFonts w:ascii="Times New Roman" w:hAnsi="Times New Roman" w:cs="Times New Roman"/>
          <w:i/>
          <w:color w:val="000000"/>
          <w:lang w:val="en-US" w:eastAsia="ar-SA"/>
        </w:rPr>
        <w:t xml:space="preserve"> 1.5</w:t>
      </w:r>
    </w:p>
    <w:p w:rsidR="003F39F3" w:rsidRPr="00D671C0" w:rsidRDefault="003F39F3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en-US" w:eastAsia="ar-SA"/>
        </w:rPr>
      </w:pPr>
    </w:p>
    <w:p w:rsidR="003F39F3" w:rsidRDefault="00D671C0">
      <w:pPr>
        <w:spacing w:after="0" w:line="240" w:lineRule="auto"/>
        <w:jc w:val="both"/>
        <w:rPr>
          <w:rFonts w:ascii="Times New Roman" w:hAnsi="Times New Roman"/>
        </w:rPr>
      </w:pPr>
      <w:r w:rsidRPr="00D671C0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Ключевой характеристикой трековой системы будущей Супер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Чарм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-Тау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Фабрики  является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импульсное разрешение, которое напрямую связано с пространственным разрешением дрейфовой камеры. Характерные значения среднего пространственного разрешения для установок такого класса 100-120 мкм.  </w:t>
      </w:r>
    </w:p>
    <w:p w:rsidR="003F39F3" w:rsidRDefault="00D671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В ИЯФ СО РАН разработан проект дрейфовой камеры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Супер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Чарм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-Тау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Фабрики, пространственное разрешение которой должно составить 90-100 мкм. Для проверки проектного значения данного параметра авторами работы был создан прототип дрейфовой камеры. Используя треки космических частиц, было проведено измерение пространственного разрешения для двух рабочих газовой смесей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/C</w:t>
      </w:r>
      <w:r>
        <w:rPr>
          <w:rFonts w:ascii="Times New Roman" w:hAnsi="Times New Roman" w:cs="Times New Roman"/>
          <w:color w:val="000000"/>
          <w:sz w:val="32"/>
          <w:szCs w:val="32"/>
          <w:vertAlign w:val="subscript"/>
          <w:lang w:eastAsia="ar-SA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  <w:vertAlign w:val="subscript"/>
          <w:lang w:eastAsia="ar-SA"/>
        </w:rPr>
        <w:t xml:space="preserve">8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(60/40)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/C</w:t>
      </w:r>
      <w:r>
        <w:rPr>
          <w:rFonts w:ascii="Times New Roman" w:hAnsi="Times New Roman" w:cs="Times New Roman"/>
          <w:color w:val="000000"/>
          <w:sz w:val="32"/>
          <w:szCs w:val="32"/>
          <w:vertAlign w:val="subscript"/>
          <w:lang w:eastAsia="ar-S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  <w:vertAlign w:val="subscript"/>
          <w:lang w:eastAsia="ar-SA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(50/50). Для реконструкции траекторий частиц был разработан специальный алгоритм, опирающийся на итерационный подход калибровки R(t) с учётом сложной формы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изохрон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ячейках дрейфовой камеры. Измерения пространственного разрешения были выполнены в широком диапазоне газового усиления, показано преимущество смеси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/C</w:t>
      </w:r>
      <w:r>
        <w:rPr>
          <w:rFonts w:ascii="Times New Roman" w:hAnsi="Times New Roman" w:cs="Times New Roman"/>
          <w:color w:val="000000"/>
          <w:sz w:val="32"/>
          <w:szCs w:val="32"/>
          <w:vertAlign w:val="subscript"/>
          <w:lang w:eastAsia="ar-SA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  <w:vertAlign w:val="subscript"/>
          <w:lang w:eastAsia="ar-SA"/>
        </w:rPr>
        <w:t xml:space="preserve">8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(60/40) по параметру пространственного разрешения по сравнению со смесью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/C</w:t>
      </w:r>
      <w:r>
        <w:rPr>
          <w:rFonts w:ascii="Times New Roman" w:hAnsi="Times New Roman" w:cs="Times New Roman"/>
          <w:color w:val="000000"/>
          <w:sz w:val="32"/>
          <w:szCs w:val="32"/>
          <w:vertAlign w:val="subscript"/>
          <w:lang w:eastAsia="ar-S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  <w:vertAlign w:val="subscript"/>
          <w:lang w:eastAsia="ar-SA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(50/50). Величина достигнутого пространственного разрешения находится в диапазоне  90-100 мкм  при усилении более 5*10</w:t>
      </w:r>
      <w:r>
        <w:rPr>
          <w:rFonts w:ascii="Times New Roman" w:hAnsi="Times New Roman" w:cs="Times New Roman"/>
          <w:color w:val="000000"/>
          <w:sz w:val="36"/>
          <w:szCs w:val="36"/>
          <w:vertAlign w:val="superscript"/>
          <w:lang w:eastAsia="ar-SA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что согласуется с проектным значением (см. рисунок 1).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2675255</wp:posOffset>
            </wp:positionV>
            <wp:extent cx="3472815" cy="2113915"/>
            <wp:effectExtent l="0" t="0" r="0" b="0"/>
            <wp:wrapTopAndBottom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3F39F3" w:rsidRDefault="00D671C0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cs="Times New Roman"/>
          <w:noProof/>
          <w:color w:val="000000"/>
          <w:sz w:val="24"/>
          <w:szCs w:val="24"/>
          <w:highlight w:val="white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2150745</wp:posOffset>
                </wp:positionV>
                <wp:extent cx="6560820" cy="170180"/>
                <wp:effectExtent l="0" t="0" r="0" b="0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28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39F3" w:rsidRDefault="00D671C0">
                            <w:pPr>
                              <w:pStyle w:val="FrameContents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исунок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1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eastAsia="ru-RU"/>
                              </w:rPr>
                              <w:t>–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Зависимость среднего значения пространственного разрешения от газового усиления.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stroked="f" style="position:absolute;margin-left:-9.45pt;margin-top:169.35pt;width:516.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</w:rPr>
                        <w:t>Р</w:t>
                      </w: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0"/>
                        </w:rPr>
                        <w:t xml:space="preserve">исунок 1  </w:t>
                      </w:r>
                      <w:r>
                        <w:rPr>
                          <w:rFonts w:eastAsia="Calibri" w:cs="Times New Roman" w:ascii="Times New Roman" w:hAnsi="Times New Roman" w:eastAsiaTheme="minorHAnsi"/>
                          <w:color w:val="000000"/>
                          <w:lang w:eastAsia="ru-RU"/>
                        </w:rPr>
                        <w:t>–</w:t>
                      </w: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0"/>
                          <w:kern w:val="0"/>
                          <w:sz w:val="22"/>
                          <w:szCs w:val="22"/>
                          <w:lang w:val="ru-RU" w:eastAsia="en-US" w:bidi="ar-SA"/>
                        </w:rPr>
                        <w:t>З</w:t>
                      </w: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0"/>
                        </w:rPr>
                        <w:t>ависимость среднего значения пространственного разрешения от газового усиления.</w:t>
                      </w:r>
                    </w:p>
                  </w:txbxContent>
                </v:textbox>
              </v:rect>
            </w:pict>
          </mc:Fallback>
        </mc:AlternateContent>
      </w:r>
    </w:p>
    <w:p w:rsidR="003F39F3" w:rsidRDefault="00D671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1.3.3.6. (Развитие методов детектирования элементарных частиц, атомных ядер и ионизирующего излучения, методов рентгеновской и нейтронной оптики). </w:t>
      </w:r>
    </w:p>
    <w:p w:rsidR="003F39F3" w:rsidRDefault="003F39F3">
      <w:pPr>
        <w:spacing w:after="0" w:line="240" w:lineRule="auto"/>
        <w:jc w:val="both"/>
        <w:rPr>
          <w:rFonts w:ascii="Times New Roman" w:hAnsi="Times New Roman"/>
        </w:rPr>
      </w:pPr>
    </w:p>
    <w:p w:rsidR="003F39F3" w:rsidRDefault="00D6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Работа выполнена в рамках научно-исследовательской работы по направлению № 6 научной программы НЦФМ «Ядерная и радиационная физика. Этап 2023-2025 гг.» Шифр «НЦФМ-6-2325-117».</w:t>
      </w:r>
    </w:p>
    <w:sectPr w:rsidR="003F39F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F3"/>
    <w:rsid w:val="001A7A32"/>
    <w:rsid w:val="003F39F3"/>
    <w:rsid w:val="0076162C"/>
    <w:rsid w:val="00D6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0841D-A9DD-43B8-BA07-2958BF27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j.nima.2024.169419" TargetMode="External"/><Relationship Id="rId5" Type="http://schemas.openxmlformats.org/officeDocument/2006/relationships/hyperlink" Target="mailto:C.Yu.Todyshev@inp.nsk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B5A7-A411-4B47-8E83-65610EB6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346</Words>
  <Characters>1977</Characters>
  <Application>Microsoft Office Word</Application>
  <DocSecurity>0</DocSecurity>
  <Lines>16</Lines>
  <Paragraphs>4</Paragraphs>
  <ScaleCrop>false</ScaleCrop>
  <Company>BINP SB RAS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15</cp:revision>
  <dcterms:created xsi:type="dcterms:W3CDTF">2024-11-13T08:50:00Z</dcterms:created>
  <dcterms:modified xsi:type="dcterms:W3CDTF">2024-12-09T12:41:00Z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