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0" w:after="12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bookmarkStart w:id="0" w:name="OLE_LINK1"/>
      <w:bookmarkStart w:id="1" w:name="OLE_LINK2"/>
      <w:bookmarkEnd w:id="0"/>
      <w:bookmarkEnd w:id="1"/>
      <w:r>
        <w:rPr>
          <w:rFonts w:cs="Times New Roman" w:ascii="Times New Roman" w:hAnsi="Times New Roman"/>
          <w:b/>
          <w:sz w:val="24"/>
          <w:szCs w:val="24"/>
        </w:rPr>
        <w:t>Разработка источника ионов ксенона для бесконтактной диагностики электрического потенциала плазмы</w:t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Институт ядерной физики им. Г. И. Будкера СО РАН</w:t>
      </w:r>
    </w:p>
    <w:p>
      <w:pPr>
        <w:pStyle w:val="Normal"/>
        <w:spacing w:before="0"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Авторы: А.Г.Абдрашитов, А.В.Булатов, А.В.Колмогоров, В.В.Приходько</w:t>
      </w:r>
    </w:p>
    <w:p>
      <w:pPr>
        <w:pStyle w:val="Normal"/>
        <w:spacing w:before="0"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Основным элементом диагностики для бесконтактного измерения электрического потенциала плазмы является пучок тяжёлых ионов. К настоящему времени завершена разработка и изготовление четырёхэлектродного инжектора пучка ионов ксенона с энергией до 70 кэВ. Относительно низкий ток пучка позволяет использовать схему с одним щелевым отверстием для «вытягивания» пучка. «Щелевое отверстие» в первом электроде имеет следующие размеры: высота </w:t>
      </w:r>
      <w:r>
        <w:rPr>
          <w:rFonts w:cs="Times New Roman" w:ascii="Times New Roman" w:hAnsi="Times New Roman"/>
          <w:sz w:val="24"/>
          <w:szCs w:val="24"/>
        </w:rPr>
        <w:t>4</w:t>
      </w:r>
      <w:r>
        <w:rPr>
          <w:rFonts w:cs="Times New Roman" w:ascii="Times New Roman" w:hAnsi="Times New Roman"/>
          <w:sz w:val="24"/>
          <w:szCs w:val="24"/>
        </w:rPr>
        <w:t xml:space="preserve"> мм, ширина </w:t>
      </w:r>
      <w:r>
        <w:rPr>
          <w:rFonts w:cs="Times New Roman" w:ascii="Times New Roman" w:hAnsi="Times New Roman"/>
          <w:sz w:val="24"/>
          <w:szCs w:val="24"/>
        </w:rPr>
        <w:t>17</w:t>
      </w:r>
      <w:r>
        <w:rPr>
          <w:rFonts w:cs="Times New Roman" w:ascii="Times New Roman" w:hAnsi="Times New Roman"/>
          <w:sz w:val="24"/>
          <w:szCs w:val="24"/>
        </w:rPr>
        <w:t xml:space="preserve"> мм. Для отработки режимов эксплуатации инжектор был установлен на вакуумный объём (см. рисунок). В ходе отладочных экспериментов получен пучок длительностью до 10 мс. Ток в системе питания инжектора ограничен величиной 10 мА, из них около 5 мА приходилось на ток ионов в пучке. Важнейшим параметром пучка с точки зрения работы диагностики потенциала плазмы является его угловая расходимость, которая составила около </w:t>
      </w:r>
      <w:r>
        <w:rPr>
          <w:rFonts w:cs="Times New Roman" w:ascii="Times New Roman" w:hAnsi="Times New Roman"/>
          <w:sz w:val="24"/>
          <w:szCs w:val="24"/>
        </w:rPr>
        <w:t>6</w:t>
      </w:r>
      <w:r>
        <w:rPr>
          <w:rFonts w:cs="Times New Roman" w:ascii="Times New Roman" w:hAnsi="Times New Roman"/>
          <w:sz w:val="24"/>
          <w:szCs w:val="24"/>
        </w:rPr>
        <w:t xml:space="preserve"> и </w:t>
      </w:r>
      <w:r>
        <w:rPr>
          <w:rFonts w:cs="Times New Roman" w:ascii="Times New Roman" w:hAnsi="Times New Roman"/>
          <w:sz w:val="24"/>
          <w:szCs w:val="24"/>
        </w:rPr>
        <w:t>13</w:t>
      </w:r>
      <w:r>
        <w:rPr>
          <w:rFonts w:cs="Times New Roman" w:ascii="Times New Roman" w:hAnsi="Times New Roman"/>
          <w:sz w:val="24"/>
          <w:szCs w:val="24"/>
        </w:rPr>
        <w:t> мрад вдоль и поперёк щели соответственно.</w:t>
      </w:r>
    </w:p>
    <w:p>
      <w:pPr>
        <w:pStyle w:val="Normal"/>
        <w:spacing w:before="0" w:after="12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cs="Times New Roman" w:ascii="Times New Roman" w:hAnsi="Times New Roman"/>
          <w:sz w:val="24"/>
          <w:szCs w:val="24"/>
          <w:lang w:eastAsia="ar-SA"/>
        </w:rPr>
      </w:r>
    </w:p>
    <w:tbl>
      <w:tblPr>
        <w:tblW w:w="9355" w:type="dxa"/>
        <w:jc w:val="left"/>
        <w:tblInd w:w="55" w:type="dxa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3627"/>
        <w:gridCol w:w="5728"/>
      </w:tblGrid>
      <w:tr>
        <w:trPr/>
        <w:tc>
          <w:tcPr>
            <w:tcW w:w="3627" w:type="dxa"/>
            <w:tcBorders/>
          </w:tcPr>
          <w:p>
            <w:pPr>
              <w:pStyle w:val="Style20"/>
              <w:spacing w:before="0" w:after="0"/>
              <w:rPr/>
            </w:pPr>
            <w:r>
              <w:rPr/>
              <w:drawing>
                <wp:inline distT="0" distB="0" distL="0" distR="0">
                  <wp:extent cx="2268220" cy="2296795"/>
                  <wp:effectExtent l="0" t="0" r="0" b="0"/>
                  <wp:docPr id="1" name="Изображение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220" cy="2296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8" w:type="dxa"/>
            <w:tcBorders/>
          </w:tcPr>
          <w:p>
            <w:pPr>
              <w:pStyle w:val="Style20"/>
              <w:spacing w:before="0" w:after="0"/>
              <w:rPr/>
            </w:pPr>
            <w:r>
              <w:rPr/>
              <w:drawing>
                <wp:inline distT="0" distB="0" distL="0" distR="0">
                  <wp:extent cx="3599815" cy="2433320"/>
                  <wp:effectExtent l="0" t="0" r="0" b="0"/>
                  <wp:docPr id="2" name="Изображение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9815" cy="2433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9355" w:type="dxa"/>
            <w:gridSpan w:val="2"/>
            <w:tcBorders/>
          </w:tcPr>
          <w:p>
            <w:pPr>
              <w:pStyle w:val="Normal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ar-SA"/>
              </w:rPr>
              <w:t xml:space="preserve">Рисунок. </w:t>
            </w:r>
            <w:r>
              <w:rPr>
                <w:rFonts w:cs="Times New Roman" w:ascii="Times New Roman" w:hAnsi="Times New Roman"/>
                <w:sz w:val="24"/>
                <w:szCs w:val="24"/>
                <w:lang w:eastAsia="ar-SA"/>
              </w:rPr>
              <w:t>С</w:t>
            </w:r>
            <w:r>
              <w:rPr>
                <w:rFonts w:cs="Times New Roman" w:ascii="Times New Roman" w:hAnsi="Times New Roman"/>
                <w:sz w:val="24"/>
                <w:szCs w:val="24"/>
                <w:lang w:eastAsia="ar-SA"/>
              </w:rPr>
              <w:t xml:space="preserve">лева — фотография инжектора </w:t>
            </w:r>
            <w:r>
              <w:rPr>
                <w:rFonts w:cs="Times New Roman" w:ascii="Times New Roman" w:hAnsi="Times New Roman"/>
                <w:sz w:val="24"/>
                <w:szCs w:val="24"/>
                <w:lang w:val="en-GB" w:eastAsia="ar-SA"/>
              </w:rPr>
              <w:t>Xe</w:t>
            </w:r>
            <w:r>
              <w:rPr>
                <w:rFonts w:cs="Times New Roman" w:ascii="Times New Roman" w:hAnsi="Times New Roman"/>
                <w:sz w:val="24"/>
                <w:szCs w:val="24"/>
                <w:vertAlign w:val="superscript"/>
                <w:lang w:val="en-GB" w:eastAsia="ar-SA"/>
              </w:rPr>
              <w:t>+</w:t>
            </w:r>
            <w:r>
              <w:rPr>
                <w:rFonts w:cs="Times New Roman" w:ascii="Times New Roman" w:hAnsi="Times New Roman"/>
                <w:sz w:val="24"/>
                <w:szCs w:val="24"/>
                <w:lang w:eastAsia="ar-SA"/>
              </w:rPr>
              <w:t xml:space="preserve"> на вакуумном объёме. </w:t>
            </w:r>
            <w:r>
              <w:rPr>
                <w:rFonts w:cs="Times New Roman" w:ascii="Times New Roman" w:hAnsi="Times New Roman"/>
                <w:sz w:val="24"/>
                <w:szCs w:val="24"/>
                <w:lang w:eastAsia="ar-SA"/>
              </w:rPr>
              <w:t>С</w:t>
            </w:r>
            <w:r>
              <w:rPr>
                <w:rFonts w:cs="Times New Roman" w:ascii="Times New Roman" w:hAnsi="Times New Roman"/>
                <w:sz w:val="24"/>
                <w:szCs w:val="24"/>
                <w:lang w:eastAsia="ar-SA"/>
              </w:rPr>
              <w:t xml:space="preserve">права </w:t>
            </w:r>
            <w:r>
              <w:rPr>
                <w:rFonts w:cs="Times New Roman" w:ascii="Times New Roman" w:hAnsi="Times New Roman"/>
                <w:sz w:val="24"/>
                <w:szCs w:val="24"/>
                <w:lang w:eastAsia="ar-SA"/>
              </w:rPr>
              <w:t>вверху</w:t>
            </w:r>
            <w:r>
              <w:rPr>
                <w:rFonts w:cs="Times New Roman" w:ascii="Times New Roman" w:hAnsi="Times New Roman"/>
                <w:sz w:val="24"/>
                <w:szCs w:val="24"/>
                <w:lang w:eastAsia="ar-SA"/>
              </w:rPr>
              <w:t xml:space="preserve"> — </w:t>
            </w:r>
            <w:r>
              <w:rPr>
                <w:rFonts w:eastAsia="Calibri" w:cs="Times New Roman" w:ascii="Times New Roman" w:hAnsi="Times New Roman" w:eastAsiaTheme="minorHAnsi"/>
                <w:color w:val="auto"/>
                <w:kern w:val="0"/>
                <w:sz w:val="24"/>
                <w:szCs w:val="24"/>
                <w:lang w:val="ru-RU" w:eastAsia="ar-SA" w:bidi="ar-SA"/>
              </w:rPr>
              <w:t>временн</w:t>
            </w:r>
            <w:r>
              <w:rPr>
                <w:rFonts w:eastAsia="Calibri" w:cs="Times New Roman" w:ascii="Times New Roman" w:hAnsi="Times New Roman" w:eastAsiaTheme="minorHAnsi"/>
                <w:i/>
                <w:iCs/>
                <w:color w:val="auto"/>
                <w:kern w:val="0"/>
                <w:sz w:val="24"/>
                <w:szCs w:val="24"/>
                <w:lang w:val="ru-RU" w:eastAsia="ar-SA" w:bidi="ar-SA"/>
              </w:rPr>
              <w:t>а</w:t>
            </w:r>
            <w:r>
              <w:rPr>
                <w:rFonts w:eastAsia="Calibri" w:cs="Times New Roman" w:ascii="Times New Roman" w:hAnsi="Times New Roman" w:eastAsiaTheme="minorHAnsi"/>
                <w:color w:val="auto"/>
                <w:kern w:val="0"/>
                <w:sz w:val="24"/>
                <w:szCs w:val="24"/>
                <w:lang w:val="ru-RU" w:eastAsia="ar-SA" w:bidi="ar-SA"/>
              </w:rPr>
              <w:t>я эволюция</w:t>
            </w:r>
            <w:r>
              <w:rPr>
                <w:rFonts w:cs="Times New Roman" w:ascii="Times New Roman" w:hAnsi="Times New Roman"/>
                <w:sz w:val="24"/>
                <w:szCs w:val="24"/>
                <w:lang w:eastAsia="ar-SA"/>
              </w:rPr>
              <w:t xml:space="preserve"> сигналов токовых коллекторов, </w:t>
            </w:r>
            <w:r>
              <w:rPr>
                <w:rFonts w:eastAsia="Calibri" w:cs="Times New Roman" w:ascii="Times New Roman" w:hAnsi="Times New Roman" w:eastAsiaTheme="minorHAnsi"/>
                <w:color w:val="auto"/>
                <w:kern w:val="0"/>
                <w:sz w:val="24"/>
                <w:szCs w:val="24"/>
                <w:lang w:val="ru-RU" w:eastAsia="ar-SA" w:bidi="ar-SA"/>
              </w:rPr>
              <w:t xml:space="preserve">расположенных </w:t>
            </w:r>
            <w:r>
              <w:rPr>
                <w:rFonts w:cs="Times New Roman" w:ascii="Times New Roman" w:hAnsi="Times New Roman"/>
                <w:sz w:val="24"/>
                <w:szCs w:val="24"/>
                <w:lang w:eastAsia="ar-SA"/>
              </w:rPr>
              <w:t xml:space="preserve">на расстоянии 1.5 м от инжектора. Справа внизу — </w:t>
            </w:r>
            <w:r>
              <w:rPr>
                <w:rFonts w:eastAsia="Calibri" w:cs="Times New Roman" w:ascii="Times New Roman" w:hAnsi="Times New Roman" w:eastAsiaTheme="minorHAnsi"/>
                <w:color w:val="auto"/>
                <w:kern w:val="0"/>
                <w:sz w:val="24"/>
                <w:szCs w:val="24"/>
                <w:lang w:val="ru-RU" w:eastAsia="ar-SA" w:bidi="ar-SA"/>
              </w:rPr>
              <w:t>профили тока пучка вдоль (красная кривая) и поперёк (синяя кривая) щели, построенные по сигналам токовых коллекторов через 2 мс после включения пучка</w:t>
            </w:r>
            <w:r>
              <w:rPr>
                <w:rFonts w:cs="Times New Roman"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</w:tbl>
    <w:p>
      <w:pPr>
        <w:pStyle w:val="Normal"/>
        <w:spacing w:before="0" w:after="12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cs="Times New Roman" w:ascii="Times New Roman" w:hAnsi="Times New Roman"/>
          <w:sz w:val="24"/>
          <w:szCs w:val="24"/>
          <w:lang w:eastAsia="ar-SA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cs="Times New Roman" w:ascii="Times New Roman" w:hAnsi="Times New Roman"/>
          <w:sz w:val="24"/>
          <w:szCs w:val="24"/>
          <w:lang w:eastAsia="ar-SA"/>
        </w:rPr>
        <w:t>Государственное задание, тема № 1</w:t>
      </w:r>
      <w:r>
        <w:rPr>
          <w:rFonts w:eastAsia="Calibri" w:cs="Times New Roman" w:eastAsiaTheme="minorHAnsi" w:ascii="Times New Roman" w:hAnsi="Times New Roman"/>
          <w:color w:val="000000"/>
          <w:kern w:val="0"/>
          <w:sz w:val="24"/>
          <w:szCs w:val="24"/>
          <w:lang w:val="ru-RU" w:eastAsia="ar-SA" w:bidi="ar-SA"/>
        </w:rPr>
        <w:t>4</w:t>
      </w:r>
      <w:r>
        <w:rPr>
          <w:rFonts w:cs="Times New Roman" w:ascii="Times New Roman" w:hAnsi="Times New Roman"/>
          <w:sz w:val="24"/>
          <w:szCs w:val="24"/>
          <w:lang w:eastAsia="ar-SA"/>
        </w:rPr>
        <w:t>.</w:t>
      </w:r>
      <w:r>
        <w:rPr>
          <w:rFonts w:cs="Times New Roman" w:ascii="Times New Roman" w:hAnsi="Times New Roman"/>
          <w:sz w:val="24"/>
          <w:szCs w:val="24"/>
          <w:lang w:eastAsia="ar-SA"/>
        </w:rPr>
        <w:t>1</w:t>
      </w:r>
      <w:r>
        <w:rPr>
          <w:rFonts w:cs="Times New Roman" w:ascii="Times New Roman" w:hAnsi="Times New Roman"/>
          <w:sz w:val="24"/>
          <w:szCs w:val="24"/>
          <w:lang w:eastAsia="ar-SA"/>
        </w:rPr>
        <w:t>.</w:t>
      </w:r>
      <w:r>
        <w:rPr>
          <w:rFonts w:cs="Times New Roman" w:ascii="Times New Roman" w:hAnsi="Times New Roman"/>
          <w:sz w:val="24"/>
          <w:szCs w:val="24"/>
          <w:lang w:eastAsia="ar-SA"/>
        </w:rPr>
        <w:t>1</w:t>
      </w:r>
      <w:r>
        <w:rPr>
          <w:rFonts w:cs="Times New Roman" w:ascii="Times New Roman" w:hAnsi="Times New Roman"/>
          <w:sz w:val="24"/>
          <w:szCs w:val="24"/>
          <w:lang w:eastAsia="ar-SA"/>
        </w:rPr>
        <w:t xml:space="preserve"> </w:t>
      </w:r>
      <w:r>
        <w:rPr>
          <w:rFonts w:cs="Times New Roman" w:ascii="Times New Roman" w:hAnsi="Times New Roman"/>
          <w:sz w:val="24"/>
          <w:szCs w:val="24"/>
          <w:lang w:eastAsia="ar-SA"/>
        </w:rPr>
        <w:t xml:space="preserve">Осесимметричные открытые </w:t>
      </w:r>
      <w:r>
        <w:rPr>
          <w:rFonts w:eastAsia="Calibri" w:cs="Times New Roman" w:eastAsiaTheme="minorHAnsi" w:ascii="Times New Roman" w:hAnsi="Times New Roman"/>
          <w:color w:val="000000"/>
          <w:kern w:val="0"/>
          <w:sz w:val="24"/>
          <w:szCs w:val="24"/>
          <w:lang w:val="ru-RU" w:eastAsia="ar-SA" w:bidi="ar-SA"/>
        </w:rPr>
        <w:t>ловушки с улучшенным продольным удержанием</w:t>
      </w:r>
      <w:r>
        <w:rPr>
          <w:rFonts w:cs="Times New Roman" w:ascii="Times New Roman" w:hAnsi="Times New Roman"/>
          <w:sz w:val="24"/>
          <w:szCs w:val="24"/>
          <w:lang w:eastAsia="ar-SA"/>
        </w:rPr>
        <w:t>.</w:t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10"/>
  <w:defaultTabStop w:val="708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b56374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5"/>
    <w:uiPriority w:val="99"/>
    <w:semiHidden/>
    <w:qFormat/>
    <w:rsid w:val="001f6164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Lucida San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ucida Sans"/>
    </w:rPr>
  </w:style>
  <w:style w:type="paragraph" w:styleId="NormalWeb">
    <w:name w:val="Normal (Web)"/>
    <w:basedOn w:val="Normal"/>
    <w:uiPriority w:val="99"/>
    <w:semiHidden/>
    <w:unhideWhenUsed/>
    <w:qFormat/>
    <w:rsid w:val="003844fc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a6"/>
    <w:uiPriority w:val="99"/>
    <w:semiHidden/>
    <w:unhideWhenUsed/>
    <w:qFormat/>
    <w:rsid w:val="001f6164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20">
    <w:name w:val="Содержимое таблицы"/>
    <w:basedOn w:val="Normal"/>
    <w:qFormat/>
    <w:pPr>
      <w:suppressLineNumbers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7c7eac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308</TotalTime>
  <Application>LibreOffice/6.4.2.2$Windows_x86 LibreOffice_project/4e471d8c02c9c90f512f7f9ead8875b57fcb1ec3</Application>
  <Pages>1</Pages>
  <Words>208</Words>
  <Characters>1368</Characters>
  <CharactersWithSpaces>1573</CharactersWithSpaces>
  <Paragraphs>8</Paragraphs>
  <Company>NSU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2018-11-22T02:20:00Z</dcterms:created>
  <dc:creator>Knyazev</dc:creator>
  <dc:description/>
  <dc:language>en-GB</dc:language>
  <cp:lastModifiedBy>Prikhodko</cp:lastModifiedBy>
  <cp:lastPrinted>2018-11-22T04:41:00Z</cp:lastPrinted>
  <dcterms:modified xsi:type="dcterms:W3CDTF">2020-12-02T13:36:13Z</dcterms:modified>
  <cp:revision>27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NSU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